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重磅！西农18门课程入选首批国家级一流本科课程认定公示！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30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spacing w:val="30"/>
          <w:kern w:val="0"/>
          <w:sz w:val="22"/>
          <w:szCs w:val="22"/>
          <w:bdr w:val="none" w:color="auto" w:sz="0" w:space="0"/>
          <w:lang w:val="en-US" w:eastAsia="zh-CN" w:bidi="ar"/>
        </w:rPr>
        <w:t>经各省级教育行政部门和高校申报推荐，教育部部组织网络评审和会议评审，10月29日，教育部官网发布了《关于首批国家级一流本科课程认定结果的公示》。</w:t>
      </w:r>
      <w:r>
        <w:rPr>
          <w:rStyle w:val="7"/>
          <w:rFonts w:ascii="宋体" w:hAnsi="宋体" w:eastAsia="宋体" w:cs="宋体"/>
          <w:color w:val="D92142"/>
          <w:spacing w:val="30"/>
          <w:kern w:val="0"/>
          <w:sz w:val="22"/>
          <w:szCs w:val="22"/>
          <w:bdr w:val="none" w:color="auto" w:sz="0" w:space="0"/>
          <w:lang w:val="en-US" w:eastAsia="zh-CN" w:bidi="ar"/>
        </w:rPr>
        <w:t>其中，西北农林科技大学共计18门课程入选</w:t>
      </w:r>
      <w:r>
        <w:rPr>
          <w:rFonts w:ascii="宋体" w:hAnsi="宋体" w:eastAsia="宋体" w:cs="宋体"/>
          <w:spacing w:val="30"/>
          <w:kern w:val="0"/>
          <w:sz w:val="22"/>
          <w:szCs w:val="22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30"/>
          <w:kern w:val="0"/>
          <w:sz w:val="22"/>
          <w:szCs w:val="22"/>
          <w:bdr w:val="none" w:color="auto" w:sz="0" w:space="0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spacing w:val="30"/>
          <w:kern w:val="0"/>
          <w:sz w:val="22"/>
          <w:szCs w:val="22"/>
          <w:bdr w:val="none" w:color="auto" w:sz="0" w:space="0"/>
          <w:lang w:val="en-US" w:eastAsia="zh-CN" w:bidi="ar"/>
        </w:rPr>
        <w:drawing>
          <wp:inline distT="0" distB="0" distL="114300" distR="114300">
            <wp:extent cx="5271770" cy="6330315"/>
            <wp:effectExtent l="0" t="0" r="5080" b="13335"/>
            <wp:docPr id="4" name="图片 4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课程是人才培养的核心要素，课程质量直接决定人才培养质量。一流本科课程认定对学校双一流发展具有重要意义。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2020-11-02T02:03:35Z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